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AD" w:rsidRDefault="00971BAD" w:rsidP="00971BAD">
      <w:pPr>
        <w:pStyle w:val="Style2"/>
        <w:widowControl/>
        <w:spacing w:before="53"/>
        <w:ind w:left="6374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Додаток № </w:t>
      </w:r>
      <w:r>
        <w:rPr>
          <w:rStyle w:val="FontStyle12"/>
          <w:sz w:val="24"/>
          <w:szCs w:val="24"/>
          <w:lang w:eastAsia="uk-UA"/>
        </w:rPr>
        <w:t>3</w:t>
      </w:r>
    </w:p>
    <w:p w:rsidR="00971BAD" w:rsidRDefault="00971BAD" w:rsidP="00971BAD">
      <w:pPr>
        <w:pStyle w:val="Style2"/>
        <w:widowControl/>
        <w:ind w:left="6379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>до Договору про постачання електричної енергії споживачу</w:t>
      </w:r>
    </w:p>
    <w:p w:rsidR="00971BAD" w:rsidRDefault="00971BAD" w:rsidP="00971BAD">
      <w:pPr>
        <w:pStyle w:val="Style3"/>
        <w:widowControl/>
        <w:spacing w:line="240" w:lineRule="exact"/>
        <w:ind w:left="725"/>
      </w:pPr>
    </w:p>
    <w:p w:rsidR="00971BAD" w:rsidRPr="009F616B" w:rsidRDefault="00971BAD" w:rsidP="00971BAD">
      <w:pPr>
        <w:pStyle w:val="Style3"/>
        <w:widowControl/>
        <w:spacing w:before="72"/>
        <w:ind w:left="725"/>
        <w:rPr>
          <w:rStyle w:val="FontStyle11"/>
          <w:u w:val="single"/>
          <w:lang w:val="uk-UA" w:eastAsia="uk-UA"/>
        </w:rPr>
      </w:pPr>
      <w:r>
        <w:rPr>
          <w:rStyle w:val="FontStyle11"/>
          <w:lang w:val="uk-UA" w:eastAsia="uk-UA"/>
        </w:rPr>
        <w:t xml:space="preserve">Комерційна пропозиція </w:t>
      </w:r>
      <w:r>
        <w:rPr>
          <w:rStyle w:val="FontStyle11"/>
          <w:u w:val="single"/>
          <w:lang w:val="uk-UA" w:eastAsia="uk-UA"/>
        </w:rPr>
        <w:t>№___</w:t>
      </w:r>
    </w:p>
    <w:p w:rsidR="00971BAD" w:rsidRDefault="00971BAD" w:rsidP="00971BAD">
      <w:pPr>
        <w:pStyle w:val="Style4"/>
        <w:widowControl/>
        <w:spacing w:line="278" w:lineRule="exact"/>
        <w:jc w:val="center"/>
        <w:rPr>
          <w:rStyle w:val="FontStyle11"/>
          <w:lang w:val="uk-UA" w:eastAsia="uk-UA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66"/>
        <w:gridCol w:w="7274"/>
      </w:tblGrid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1B482A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  <w:lang w:val="uk-UA"/>
              </w:rPr>
              <w:t xml:space="preserve">- </w:t>
            </w:r>
            <w:r w:rsidRPr="001B482A">
              <w:rPr>
                <w:rStyle w:val="FontStyle12"/>
                <w:sz w:val="24"/>
                <w:szCs w:val="24"/>
              </w:rPr>
              <w:t xml:space="preserve">особа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є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власником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користувачем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)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об'єкта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>;</w:t>
            </w:r>
          </w:p>
          <w:p w:rsidR="00971BAD" w:rsidRPr="001B482A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наявний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82A">
              <w:rPr>
                <w:rStyle w:val="FontStyle12"/>
                <w:sz w:val="24"/>
                <w:szCs w:val="24"/>
              </w:rPr>
              <w:t>обл</w:t>
            </w:r>
            <w:proofErr w:type="gramEnd"/>
            <w:r w:rsidRPr="001B482A">
              <w:rPr>
                <w:rStyle w:val="FontStyle12"/>
                <w:sz w:val="24"/>
                <w:szCs w:val="24"/>
              </w:rPr>
              <w:t>ік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забезпечує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можливість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застосування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цін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тарифів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),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передбачених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даною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комерційною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пропозицією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>;</w:t>
            </w:r>
          </w:p>
          <w:p w:rsidR="00971BAD" w:rsidRPr="001B482A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споживач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приєднався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до умов договору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споживача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надання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послуг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з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розподілу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передачі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)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>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перехід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прав та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обов'язкі</w:t>
            </w:r>
            <w:proofErr w:type="gramStart"/>
            <w:r w:rsidRPr="001B482A">
              <w:rPr>
                <w:rStyle w:val="FontStyle12"/>
                <w:sz w:val="24"/>
                <w:szCs w:val="24"/>
              </w:rPr>
              <w:t>в</w:t>
            </w:r>
            <w:proofErr w:type="spellEnd"/>
            <w:proofErr w:type="gram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1B482A">
              <w:rPr>
                <w:rStyle w:val="FontStyle12"/>
                <w:sz w:val="24"/>
                <w:szCs w:val="24"/>
              </w:rPr>
              <w:t>до</w:t>
            </w:r>
            <w:proofErr w:type="gramEnd"/>
            <w:r w:rsidRPr="001B482A">
              <w:rPr>
                <w:rStyle w:val="FontStyle12"/>
                <w:sz w:val="24"/>
                <w:szCs w:val="24"/>
              </w:rPr>
              <w:t xml:space="preserve"> нового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власника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(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користувача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)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об'єкта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за договорами,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укладеними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відповідно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до Правил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роздрібного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ринку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електричної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енергії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не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потребує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додаткових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1B482A">
              <w:rPr>
                <w:rStyle w:val="FontStyle12"/>
                <w:sz w:val="24"/>
                <w:szCs w:val="24"/>
              </w:rPr>
              <w:t>узгоджень</w:t>
            </w:r>
            <w:proofErr w:type="spellEnd"/>
            <w:r w:rsidRPr="001B482A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Ціна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РДД - ринок двосторонніх договорів;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РДН – ринок на добу на перед;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ВДР – внутрішньодобовий ринок;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БР – балансуючий ринок;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Д – доба постачання;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– прогнозні погодинні обсяги споживання споживача кожної години Д 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– фактичні погодинні обсяги споживання споживача кожної години Д;</w:t>
            </w:r>
          </w:p>
          <w:p w:rsidR="00971BAD" w:rsidRDefault="00971BAD" w:rsidP="00E07489">
            <w:pPr>
              <w:pStyle w:val="a8"/>
              <w:jc w:val="both"/>
            </w:pPr>
            <w:r>
              <w:rPr>
                <w:lang w:val="en-US"/>
              </w:rPr>
              <w:t>W</w:t>
            </w:r>
            <w:r>
              <w:rPr>
                <w:vertAlign w:val="subscript"/>
                <w:lang w:val="uk-UA"/>
              </w:rPr>
              <w:t>М</w:t>
            </w:r>
            <w:r>
              <w:rPr>
                <w:lang w:val="uk-UA"/>
              </w:rPr>
              <w:t xml:space="preserve"> – фактичний обсяг споживання споживача у розрахунковому місяці;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mах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– максимальна ціна на електричну енергію на РДН та ВДР для годин мінімального навантаження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ро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зрахована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НКРЕКП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max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– максимальна ціна на електричну енергію на РДН та ВДР для годин максимального навантаження, розрахована НКРЕКП;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min</w:t>
            </w:r>
            <w:proofErr w:type="spellEnd"/>
            <w:r w:rsidRPr="00242C77">
              <w:rPr>
                <w:rStyle w:val="FontStyle12"/>
                <w:sz w:val="24"/>
                <w:szCs w:val="24"/>
                <w:vertAlign w:val="subscript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– тривалість періоду годин мінімального навантаження (період з 00:00 до 08:00 та з 23:00 до 24</w:t>
            </w:r>
            <w:r>
              <w:rPr>
                <w:rStyle w:val="FontStyle12"/>
                <w:sz w:val="24"/>
                <w:szCs w:val="24"/>
                <w:lang w:eastAsia="uk-UA"/>
              </w:rPr>
              <w:t>:00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);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proofErr w:type="spellEnd"/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– тривалість періоду годин максимального навантаження (період з 08:00 до 23:00);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Оплата електричної енергії у розрахунковому періоді здійснюється за прогнозованою ціною (тарифом) за 1кВт*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год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Постачальника, яка визначається за формулою: 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Ц=</w:t>
            </w:r>
            <w:r>
              <w:rPr>
                <w:rStyle w:val="FontStyle12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СЗЦ+Т, </w:t>
            </w:r>
          </w:p>
          <w:p w:rsidR="00971BAD" w:rsidRPr="00FC7932" w:rsidRDefault="00971BAD" w:rsidP="00E07489">
            <w:pPr>
              <w:pStyle w:val="a8"/>
              <w:jc w:val="both"/>
              <w:rPr>
                <w:lang w:val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де: СЗЦ – середня закупівельна ціна без урахування ПДВ, затверджена Постановою НКРЕКП </w:t>
            </w:r>
            <w:r>
              <w:rPr>
                <w:lang w:val="uk-UA"/>
              </w:rPr>
              <w:t xml:space="preserve">від 24 червня 2019 року </w:t>
            </w:r>
            <w:r>
              <w:t>N</w:t>
            </w:r>
            <w:r>
              <w:rPr>
                <w:lang w:val="uk-UA"/>
              </w:rPr>
              <w:t xml:space="preserve"> 1169.</w:t>
            </w:r>
          </w:p>
          <w:p w:rsidR="00971BAD" w:rsidRPr="00FC7932" w:rsidRDefault="00971BAD" w:rsidP="00E07489">
            <w:pPr>
              <w:pStyle w:val="a8"/>
              <w:jc w:val="both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СЗЦ = (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mах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*</w:t>
            </w:r>
            <w:proofErr w:type="spellStart"/>
            <w:r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min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+ Ц</w:t>
            </w:r>
            <w:r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*</w:t>
            </w:r>
            <w:proofErr w:type="spellStart"/>
            <w:r>
              <w:rPr>
                <w:rStyle w:val="FontStyle12"/>
                <w:sz w:val="24"/>
                <w:szCs w:val="24"/>
                <w:lang w:val="en-US" w:eastAsia="uk-UA"/>
              </w:rPr>
              <w:t>t</w:t>
            </w:r>
            <w:r>
              <w:rPr>
                <w:rStyle w:val="FontStyle12"/>
                <w:sz w:val="24"/>
                <w:szCs w:val="24"/>
                <w:vertAlign w:val="subscript"/>
                <w:lang w:val="en-US" w:eastAsia="uk-UA"/>
              </w:rPr>
              <w:t>max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)/24;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Т – вартість послуг Оператора системи передачі (встановлюється НКРЕКП).</w:t>
            </w:r>
            <w:r>
              <w:rPr>
                <w:rStyle w:val="FontStyle12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Фактична ціна (тариф) купованої Споживачем електроенергії у розрахунковому періоді, яка зазначається в акті-купівлі продажу електроенергії розраховуються (визначаються) Постачальником за формулою: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lang w:val="uk-UA"/>
              </w:rPr>
              <w:t>Ц</w:t>
            </w:r>
            <w:r>
              <w:rPr>
                <w:vertAlign w:val="subscript"/>
                <w:lang w:val="uk-UA"/>
              </w:rPr>
              <w:t>факт</w:t>
            </w:r>
            <w:proofErr w:type="spellEnd"/>
            <w:r>
              <w:rPr>
                <w:lang w:val="uk-UA"/>
              </w:rPr>
              <w:t xml:space="preserve"> = ((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РДД</w:t>
            </w:r>
            <w:r>
              <w:rPr>
                <w:lang w:val="uk-UA"/>
              </w:rPr>
              <w:t xml:space="preserve"> +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РДН/ВДР</w:t>
            </w:r>
            <w:r>
              <w:rPr>
                <w:lang w:val="uk-UA"/>
              </w:rPr>
              <w:t xml:space="preserve">+ 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БР-</w:t>
            </w:r>
            <w:r>
              <w:rPr>
                <w:lang w:val="uk-UA"/>
              </w:rPr>
              <w:t xml:space="preserve">+ 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БР+</w:t>
            </w:r>
            <w:r>
              <w:rPr>
                <w:lang w:val="uk-UA"/>
              </w:rPr>
              <w:t xml:space="preserve"> + </w:t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  <w:lang w:val="uk-UA"/>
              </w:rPr>
              <w:t>спож</w:t>
            </w:r>
            <w:proofErr w:type="spellEnd"/>
            <w:r>
              <w:rPr>
                <w:lang w:val="uk-UA"/>
              </w:rPr>
              <w:t>)/</w:t>
            </w:r>
            <w:r>
              <w:rPr>
                <w:lang w:val="en-US"/>
              </w:rPr>
              <w:t>W</w:t>
            </w:r>
            <w:r>
              <w:rPr>
                <w:vertAlign w:val="subscript"/>
                <w:lang w:val="uk-UA"/>
              </w:rPr>
              <w:t>М</w:t>
            </w:r>
            <w:r>
              <w:rPr>
                <w:lang w:val="uk-UA"/>
              </w:rPr>
              <w:t>)*</w:t>
            </w:r>
            <w:proofErr w:type="spellStart"/>
            <w:r>
              <w:rPr>
                <w:lang w:val="uk-UA"/>
              </w:rPr>
              <w:t>П</w:t>
            </w:r>
            <w:r>
              <w:rPr>
                <w:vertAlign w:val="subscript"/>
                <w:lang w:val="uk-UA"/>
              </w:rPr>
              <w:t>пост</w:t>
            </w:r>
            <w:proofErr w:type="spellEnd"/>
            <w:r>
              <w:rPr>
                <w:vertAlign w:val="subscript"/>
                <w:lang w:val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+ Т, де: </w:t>
            </w:r>
          </w:p>
          <w:p w:rsidR="00971BAD" w:rsidRPr="00242C77" w:rsidRDefault="00971BAD" w:rsidP="00E07489">
            <w:pPr>
              <w:pStyle w:val="a8"/>
              <w:jc w:val="both"/>
              <w:rPr>
                <w:lang w:val="uk-UA"/>
              </w:rPr>
            </w:pP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РДД</w:t>
            </w:r>
            <w:r>
              <w:rPr>
                <w:lang w:val="uk-UA"/>
              </w:rPr>
              <w:t xml:space="preserve"> -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фактична вартість купівлі Постачальником обсягів  електроенергії Споживача на РДД для кожної години Д місяця, яка визначається як сума добутків прогнозних погодинних обсягів споживання електроенергії  Споживача та ціни години згідно із контрактом РДД для кожної години Д місяця без урахування ПДВ;</w:t>
            </w:r>
            <w:r>
              <w:rPr>
                <w:lang w:val="uk-UA"/>
              </w:rPr>
              <w:t xml:space="preserve"> </w:t>
            </w:r>
          </w:p>
          <w:p w:rsidR="00971BAD" w:rsidRPr="00242C77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РДН/ВДР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= фактична вартість купівлі Постачальником обсягів електроенергії Споживача на аукціоні РДН/ВДР для кожної години Д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lastRenderedPageBreak/>
              <w:t xml:space="preserve">місяця, яка визначається як сума добутків прогнозних погодинних обсягів споживання електроенергії  Споживача та ціни години на аукціоні РДН/ВДР для кожної години Д місяця без урахування ПДВ; 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БР-</w:t>
            </w:r>
            <w:r>
              <w:rPr>
                <w:lang w:val="uk-UA"/>
              </w:rPr>
              <w:t xml:space="preserve"> – вартість небалансів споживача у випадку від’ємної різниці між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у кожній годині Д місяця, яка розраховується за формулою 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БР-</w:t>
            </w:r>
            <w:r>
              <w:rPr>
                <w:lang w:val="uk-UA"/>
              </w:rPr>
              <w:t>=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)*</w:t>
            </w:r>
            <w:proofErr w:type="spellStart"/>
            <w:proofErr w:type="gram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</w:t>
            </w:r>
            <w:proofErr w:type="spellEnd"/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,</w:t>
            </w:r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 де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нб-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- вартість 1 кВт*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год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на БР, за якою постачальник продав </w:t>
            </w:r>
            <w:r>
              <w:rPr>
                <w:lang w:val="uk-UA"/>
              </w:rPr>
              <w:t xml:space="preserve">позитивну різниці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споживача без урахування ПДВ.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БР+</w:t>
            </w:r>
            <w:r>
              <w:rPr>
                <w:lang w:val="uk-UA"/>
              </w:rPr>
              <w:t xml:space="preserve"> - вартість небалансів споживача у випадку позитивної різниці між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у кожній годині дня Д, яка розраховується за формулою </w:t>
            </w:r>
            <w:r>
              <w:rPr>
                <w:lang w:val="en-US"/>
              </w:rPr>
              <w:t>Cost</w:t>
            </w:r>
            <w:r>
              <w:rPr>
                <w:vertAlign w:val="subscript"/>
                <w:lang w:val="uk-UA"/>
              </w:rPr>
              <w:t>БР+</w:t>
            </w:r>
            <w:r>
              <w:rPr>
                <w:lang w:val="uk-UA"/>
              </w:rPr>
              <w:t xml:space="preserve"> = (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) *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нб+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, де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Ц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нб+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вартість 1 кВт*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год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на БР, за якою постачальник придбав </w:t>
            </w:r>
            <w:r>
              <w:rPr>
                <w:lang w:val="uk-UA"/>
              </w:rPr>
              <w:t xml:space="preserve">різницю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прог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споживача без урахування ПДВ. 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en-US"/>
              </w:rPr>
              <w:t>F</w:t>
            </w:r>
            <w:proofErr w:type="spellStart"/>
            <w:r>
              <w:rPr>
                <w:color w:val="000000"/>
                <w:vertAlign w:val="subscript"/>
                <w:lang w:val="uk-UA"/>
              </w:rPr>
              <w:t>спож</w:t>
            </w:r>
            <w:proofErr w:type="spellEnd"/>
            <w:r>
              <w:rPr>
                <w:color w:val="000000"/>
                <w:lang w:val="uk-UA"/>
              </w:rPr>
              <w:t xml:space="preserve"> - частка витрат Споживача із загальних обов’язкових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витрат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постачальника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(плата за послуги Оператора ринку у відповідності до розділу 4 Правил РДН та ВДР, Адміністратора розрахунків, внески на регулювання НКРЕКП, інші обов’язкові витрати Постачальника згідно з нормативними документами),</w:t>
            </w:r>
          </w:p>
          <w:p w:rsidR="00971BAD" w:rsidRDefault="00971BAD" w:rsidP="00B272D4">
            <w:pPr>
              <w:pStyle w:val="a8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пост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– коефіцієнт прибутковості Постачальника. Для цієї комерційної пропозиції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пост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= </w:t>
            </w:r>
            <w:bookmarkStart w:id="0" w:name="_GoBack"/>
            <w:bookmarkEnd w:id="0"/>
            <w:r>
              <w:rPr>
                <w:rStyle w:val="FontStyle12"/>
                <w:sz w:val="24"/>
                <w:szCs w:val="24"/>
                <w:lang w:eastAsia="uk-UA"/>
              </w:rPr>
              <w:t>1,0</w:t>
            </w:r>
            <w:r w:rsidR="00B272D4">
              <w:rPr>
                <w:rStyle w:val="FontStyle12"/>
                <w:sz w:val="24"/>
                <w:szCs w:val="24"/>
                <w:lang w:val="uk-UA" w:eastAsia="uk-UA"/>
              </w:rPr>
              <w:t>1</w:t>
            </w:r>
            <w:r w:rsidR="00795838">
              <w:rPr>
                <w:rStyle w:val="FontStyle12"/>
                <w:sz w:val="24"/>
                <w:szCs w:val="24"/>
                <w:lang w:val="uk-UA" w:eastAsia="uk-UA"/>
              </w:rPr>
              <w:t>0</w:t>
            </w:r>
            <w:r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lastRenderedPageBreak/>
              <w:t>Територія здійснення ліцензованої діяльності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Не обмежена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Спосіб оплати</w:t>
            </w: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C57" w:rsidRPr="00136C57" w:rsidRDefault="00136C57" w:rsidP="00136C57">
            <w:pPr>
              <w:pStyle w:val="Style1"/>
              <w:widowControl/>
              <w:spacing w:line="274" w:lineRule="exact"/>
              <w:ind w:firstLine="5"/>
              <w:rPr>
                <w:rStyle w:val="FontStyle12"/>
                <w:sz w:val="24"/>
                <w:szCs w:val="24"/>
                <w:lang w:val="uk-UA" w:eastAsia="uk-UA"/>
              </w:rPr>
            </w:pPr>
            <w:r w:rsidRPr="00136C57">
              <w:rPr>
                <w:rStyle w:val="FontStyle12"/>
                <w:sz w:val="24"/>
                <w:szCs w:val="24"/>
                <w:lang w:val="uk-UA" w:eastAsia="uk-UA"/>
              </w:rPr>
              <w:t>Оплата електричної енергії здійснюється Споживачем до 27</w:t>
            </w:r>
            <w:r w:rsidR="00E00411">
              <w:rPr>
                <w:rStyle w:val="FontStyle12"/>
                <w:sz w:val="24"/>
                <w:szCs w:val="24"/>
                <w:lang w:val="uk-UA" w:eastAsia="uk-UA"/>
              </w:rPr>
              <w:t>-го</w:t>
            </w:r>
            <w:r w:rsidRPr="00136C57">
              <w:rPr>
                <w:rStyle w:val="FontStyle12"/>
                <w:sz w:val="24"/>
                <w:szCs w:val="24"/>
                <w:lang w:val="uk-UA" w:eastAsia="uk-UA"/>
              </w:rPr>
              <w:t xml:space="preserve"> числа місяця, що передує</w:t>
            </w:r>
            <w:r w:rsidRPr="00136C57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розрахунковому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розмірі</w:t>
            </w:r>
            <w:r w:rsidRPr="00136C57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100</w:t>
            </w:r>
            <w:r w:rsidR="00E00411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36C57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% </w:t>
            </w:r>
            <w:r w:rsidRPr="00136C57">
              <w:rPr>
                <w:rStyle w:val="FontStyle12"/>
                <w:sz w:val="24"/>
                <w:szCs w:val="24"/>
                <w:lang w:val="uk-UA" w:eastAsia="uk-UA"/>
              </w:rPr>
              <w:t>вартості заявлених обсягів на розрахунковий період з урахуванням ПДВ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971BAD" w:rsidRPr="00136C57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136C57">
              <w:rPr>
                <w:rStyle w:val="FontStyle12"/>
                <w:sz w:val="24"/>
                <w:szCs w:val="24"/>
                <w:lang w:val="uk-UA" w:eastAsia="uk-UA"/>
              </w:rPr>
              <w:t>з остаточним розрахунком, що проводиться за фактично відпущену електричну енергію згідно з даними комерційного обліку.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Планові платежі здійснюються у розмірах, кожний з яких визначаються за наступною формулою: 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O =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*Ц, де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W</w:t>
            </w:r>
            <w:r>
              <w:rPr>
                <w:rStyle w:val="FontStyle12"/>
                <w:sz w:val="24"/>
                <w:szCs w:val="24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- заявлені споживачем обсяги споживання на звітний розрахунковий період, Ц - прогнозована ціна (тариф), механізм визначення якої вказаний у розділі «Ціна» цієї комерційної пропозиції. </w:t>
            </w:r>
          </w:p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Сума переплати/недоплати Споживача, яка виникла в наслідок різниці між Ц та Ц</w:t>
            </w:r>
            <w:r>
              <w:rPr>
                <w:rStyle w:val="FontStyle12"/>
                <w:sz w:val="24"/>
                <w:szCs w:val="24"/>
                <w:vertAlign w:val="subscript"/>
                <w:lang w:eastAsia="uk-UA"/>
              </w:rPr>
              <w:t>факт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визначається після завершення звітного розрахункового періоду. Оплата здійснюється на поточний рахунок із спеціальним режимом Постачальника зазначений у розрахункових документах. Сума переплати Споживача, за вибором Споживача, може бути зарахована в якості оплати наступного розрахункового періоду, або повертається Постачальником на розрахунковий рахунок Споживача. Сума недоплати Споживача підлягає безумовній оплаті Споживачем не пізніше 5 робочих днів з дня отримання рахунку.</w:t>
            </w:r>
          </w:p>
        </w:tc>
      </w:tr>
      <w:tr w:rsidR="00971BAD" w:rsidTr="00E07489">
        <w:trPr>
          <w:trHeight w:val="54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 xml:space="preserve"> Можливість надання пільг, субсидій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Не надаються.</w:t>
            </w:r>
          </w:p>
        </w:tc>
      </w:tr>
      <w:tr w:rsidR="00971BAD" w:rsidTr="00E07489">
        <w:trPr>
          <w:trHeight w:val="58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 xml:space="preserve">Оплата послуг з розподілу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Оплата послуг з розподілу електричної енергії здійснюється Споживачем напряму оператору системи розподілу.</w:t>
            </w:r>
          </w:p>
        </w:tc>
      </w:tr>
      <w:tr w:rsidR="00971BAD" w:rsidTr="00E07489">
        <w:trPr>
          <w:trHeight w:val="21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lastRenderedPageBreak/>
              <w:t>Договірні обсяги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Pr="006E5177" w:rsidRDefault="00971BAD" w:rsidP="00E07489">
            <w:pPr>
              <w:pStyle w:val="a8"/>
              <w:jc w:val="both"/>
            </w:pPr>
            <w:proofErr w:type="spellStart"/>
            <w:r w:rsidRPr="006E5177">
              <w:t>Споживач</w:t>
            </w:r>
            <w:proofErr w:type="spellEnd"/>
            <w:r w:rsidRPr="006E5177">
              <w:t xml:space="preserve"> до 20-го числа (</w:t>
            </w:r>
            <w:proofErr w:type="spellStart"/>
            <w:r w:rsidRPr="006E5177">
              <w:t>включно</w:t>
            </w:r>
            <w:proofErr w:type="spellEnd"/>
            <w:r w:rsidRPr="006E5177">
              <w:t xml:space="preserve">) </w:t>
            </w:r>
            <w:proofErr w:type="spellStart"/>
            <w:r w:rsidRPr="006E5177">
              <w:t>місяця</w:t>
            </w:r>
            <w:proofErr w:type="spellEnd"/>
            <w:r w:rsidRPr="006E5177">
              <w:t xml:space="preserve">, </w:t>
            </w:r>
            <w:proofErr w:type="spellStart"/>
            <w:r w:rsidRPr="006E5177">
              <w:t>що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передує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розрахунковому</w:t>
            </w:r>
            <w:proofErr w:type="spellEnd"/>
            <w:r w:rsidRPr="006E5177">
              <w:t xml:space="preserve">, </w:t>
            </w:r>
            <w:proofErr w:type="spellStart"/>
            <w:r w:rsidRPr="006E5177">
              <w:t>надає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Постачальнику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інформацію</w:t>
            </w:r>
            <w:proofErr w:type="spellEnd"/>
            <w:r w:rsidRPr="006E5177">
              <w:t xml:space="preserve"> на </w:t>
            </w:r>
            <w:proofErr w:type="spellStart"/>
            <w:r w:rsidRPr="006E5177">
              <w:t>наступний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розрахунковий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місяць</w:t>
            </w:r>
            <w:proofErr w:type="spellEnd"/>
            <w:r w:rsidRPr="006E5177">
              <w:t xml:space="preserve"> (</w:t>
            </w:r>
            <w:proofErr w:type="spellStart"/>
            <w:r w:rsidRPr="006E5177">
              <w:t>прогнозний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графік</w:t>
            </w:r>
            <w:proofErr w:type="spellEnd"/>
            <w:r w:rsidRPr="006E5177">
              <w:t xml:space="preserve">) про </w:t>
            </w:r>
            <w:proofErr w:type="spellStart"/>
            <w:r w:rsidRPr="006E5177">
              <w:t>замовлене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місячне</w:t>
            </w:r>
            <w:proofErr w:type="spellEnd"/>
            <w:r w:rsidRPr="006E5177">
              <w:t xml:space="preserve"> (по годинах) </w:t>
            </w:r>
            <w:proofErr w:type="spellStart"/>
            <w:r w:rsidRPr="006E5177">
              <w:t>споживання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електричної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енергії</w:t>
            </w:r>
            <w:proofErr w:type="spellEnd"/>
            <w:r w:rsidRPr="006E5177">
              <w:t xml:space="preserve"> в </w:t>
            </w:r>
            <w:proofErr w:type="spellStart"/>
            <w:r w:rsidRPr="006E5177">
              <w:t>цілому</w:t>
            </w:r>
            <w:proofErr w:type="spellEnd"/>
            <w:r w:rsidRPr="006E5177">
              <w:t xml:space="preserve"> по </w:t>
            </w:r>
            <w:proofErr w:type="spellStart"/>
            <w:r w:rsidRPr="006E5177">
              <w:t>Споживачу</w:t>
            </w:r>
            <w:proofErr w:type="spellEnd"/>
            <w:r w:rsidRPr="006E5177">
              <w:t xml:space="preserve"> та </w:t>
            </w:r>
            <w:proofErr w:type="spellStart"/>
            <w:r w:rsidRPr="006E5177">
              <w:t>з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розбивкою</w:t>
            </w:r>
            <w:proofErr w:type="spellEnd"/>
            <w:r w:rsidRPr="006E5177">
              <w:t xml:space="preserve"> по площадкам </w:t>
            </w:r>
            <w:proofErr w:type="spellStart"/>
            <w:r w:rsidRPr="006E5177">
              <w:t>вимірювання</w:t>
            </w:r>
            <w:proofErr w:type="spellEnd"/>
            <w:r w:rsidRPr="006E5177">
              <w:t xml:space="preserve">, </w:t>
            </w:r>
            <w:proofErr w:type="spellStart"/>
            <w:r w:rsidRPr="006E5177">
              <w:t>обсяг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споживання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електроенергії</w:t>
            </w:r>
            <w:proofErr w:type="spellEnd"/>
            <w:r w:rsidRPr="006E5177">
              <w:t xml:space="preserve"> по </w:t>
            </w:r>
            <w:proofErr w:type="spellStart"/>
            <w:r w:rsidRPr="006E5177">
              <w:t>яких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визначається</w:t>
            </w:r>
            <w:proofErr w:type="spellEnd"/>
            <w:r w:rsidRPr="006E5177">
              <w:t xml:space="preserve"> Оператором </w:t>
            </w:r>
            <w:proofErr w:type="spellStart"/>
            <w:r w:rsidRPr="006E5177">
              <w:t>системи</w:t>
            </w:r>
            <w:proofErr w:type="spellEnd"/>
            <w:r w:rsidRPr="006E5177">
              <w:t xml:space="preserve"> за </w:t>
            </w:r>
            <w:proofErr w:type="spellStart"/>
            <w:r w:rsidRPr="006E5177">
              <w:t>допомогою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щодобового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автоматизованого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дистанційного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зчитування</w:t>
            </w:r>
            <w:proofErr w:type="spellEnd"/>
            <w:r w:rsidRPr="006E5177">
              <w:t xml:space="preserve"> </w:t>
            </w:r>
            <w:proofErr w:type="spellStart"/>
            <w:proofErr w:type="gramStart"/>
            <w:r w:rsidRPr="006E5177">
              <w:t>обл</w:t>
            </w:r>
            <w:proofErr w:type="gramEnd"/>
            <w:r w:rsidRPr="006E5177">
              <w:t>ікованих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даних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лічильників</w:t>
            </w:r>
            <w:proofErr w:type="spellEnd"/>
            <w:r w:rsidRPr="006E5177">
              <w:t xml:space="preserve"> (</w:t>
            </w:r>
            <w:proofErr w:type="spellStart"/>
            <w:r w:rsidRPr="006E5177">
              <w:t>погодинного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або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меншого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періоду</w:t>
            </w:r>
            <w:proofErr w:type="spellEnd"/>
            <w:r w:rsidRPr="006E5177">
              <w:t xml:space="preserve"> </w:t>
            </w:r>
            <w:proofErr w:type="spellStart"/>
            <w:r w:rsidRPr="006E5177">
              <w:t>інтеграції</w:t>
            </w:r>
            <w:proofErr w:type="spellEnd"/>
            <w:r w:rsidRPr="006E5177">
              <w:t xml:space="preserve">) та площадках, на </w:t>
            </w:r>
            <w:proofErr w:type="spellStart"/>
            <w:r w:rsidRPr="006E5177">
              <w:t>яких</w:t>
            </w:r>
            <w:proofErr w:type="spellEnd"/>
            <w:r w:rsidRPr="006E5177">
              <w:t xml:space="preserve"> не </w:t>
            </w:r>
            <w:proofErr w:type="spellStart"/>
            <w:r w:rsidRPr="006E5177">
              <w:t>встановлено</w:t>
            </w:r>
            <w:proofErr w:type="spellEnd"/>
            <w:r w:rsidRPr="006E5177">
              <w:t xml:space="preserve"> АСКОЕ.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Коригування заявлених обсягів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разі необхідності Споживач може скоригувати заявлений погодинний обсяг купівлі електроенергії на Д за 5 робочих днів до Д.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Термін надання рахунку за спожиту</w:t>
            </w:r>
          </w:p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електричну енергію та термін його оплати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Оплата рахунка Постачальника за Договором має бути здійснена Споживачем у строки, визначені в рахунку, але не більше 3-х робочих днів від дати його отримання Споживачем.</w:t>
            </w:r>
          </w:p>
        </w:tc>
      </w:tr>
      <w:tr w:rsidR="00971BAD" w:rsidRPr="00B272D4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 xml:space="preserve">Штраф за дострокове припинення дії </w:t>
            </w:r>
            <w:proofErr w:type="spellStart"/>
            <w:r>
              <w:rPr>
                <w:rStyle w:val="FontStyle11"/>
                <w:lang w:val="uk-UA" w:eastAsia="uk-UA"/>
              </w:rPr>
              <w:t>договору.Розмір</w:t>
            </w:r>
            <w:proofErr w:type="spellEnd"/>
            <w:r>
              <w:rPr>
                <w:rStyle w:val="FontStyle11"/>
                <w:lang w:val="uk-UA" w:eastAsia="uk-UA"/>
              </w:rPr>
              <w:t xml:space="preserve"> пені за порушення строку оплати та/або штраф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Розмір штрафу за дострокове припинення дії договору дорівнює вартості обсягу замовленої та неоплаченої електричної енергії за останній розрахунковий період. </w:t>
            </w:r>
          </w:p>
          <w:p w:rsidR="00971BAD" w:rsidRPr="00242C77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 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74" w:lineRule="exact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Розмір компенсації Споживачу за недодержання Постачальником комерційної якості послуг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Компенсація за недотримання постачальником комерційної якості надання  послуг надається у порядку та розмірі, визначеному Регулятором.</w:t>
            </w:r>
          </w:p>
        </w:tc>
      </w:tr>
      <w:tr w:rsidR="00971BAD" w:rsidTr="00E07489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Style5"/>
              <w:widowControl/>
              <w:spacing w:line="240" w:lineRule="auto"/>
              <w:ind w:left="-40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Строк дії договору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AD" w:rsidRDefault="00971BAD" w:rsidP="00E07489">
            <w:pPr>
              <w:pStyle w:val="a8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Договір набирає чинності з дня, наступного за днем отримання ТОВ «КОМПАНІЯ«ГАЗЕНЕРГОПОСТАЧ» заяви-приєднання Споживача до умов Договору про постачання електричної енергії споживачу, в якій вказано про обрання даної </w:t>
            </w:r>
            <w:r>
              <w:rPr>
                <w:rStyle w:val="FontStyle11"/>
                <w:lang w:val="uk-UA" w:eastAsia="uk-UA"/>
              </w:rPr>
              <w:t>Комерційної пропозиції №___</w:t>
            </w:r>
            <w:r w:rsidRPr="007611BA">
              <w:rPr>
                <w:rStyle w:val="FontStyle11"/>
                <w:b w:val="0"/>
                <w:lang w:val="uk-UA" w:eastAsia="uk-UA"/>
              </w:rPr>
              <w:t>,</w:t>
            </w:r>
            <w:r>
              <w:rPr>
                <w:rStyle w:val="FontStyle11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якщо протягом трьох робочих днів Споживачу не буде повідомлено будь-яким способом про невідповідність його критеріям обраної комерційної пропозиції. Договір діє до моменту початку постачання електричної енергії споживачу іншим Постачальником.</w:t>
            </w:r>
            <w:r>
              <w:rPr>
                <w:rStyle w:val="FontStyle12"/>
                <w:color w:val="0070C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Дія Договору може бути припинена достроково в порядку та на підставах, що передбачені умовами Договору та чинним законодавством України. </w:t>
            </w:r>
          </w:p>
        </w:tc>
      </w:tr>
    </w:tbl>
    <w:p w:rsidR="00971BAD" w:rsidRDefault="00971BAD" w:rsidP="00971BAD">
      <w:pPr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71BAD" w:rsidTr="00E07489">
        <w:tc>
          <w:tcPr>
            <w:tcW w:w="4926" w:type="dxa"/>
          </w:tcPr>
          <w:p w:rsidR="00971BAD" w:rsidRDefault="00971BAD" w:rsidP="00E07489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Постачальник:</w:t>
            </w:r>
          </w:p>
          <w:p w:rsidR="00971BAD" w:rsidRDefault="00971BAD" w:rsidP="00E07489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ТОВ «Компанія «</w:t>
            </w: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Газенергопостач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>»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___________________(Прядко В.М.)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М.П.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676F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«___»______________ 20</w:t>
            </w:r>
            <w:r w:rsidR="00676F3F">
              <w:rPr>
                <w:sz w:val="24"/>
                <w:szCs w:val="24"/>
                <w:lang w:val="uk-UA" w:eastAsia="en-US"/>
              </w:rPr>
              <w:t>20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4927" w:type="dxa"/>
          </w:tcPr>
          <w:p w:rsidR="00971BAD" w:rsidRDefault="00971BAD" w:rsidP="00E07489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Споживач: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_______________________________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_____________(посада)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____________________ (______________)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М.П.</w:t>
            </w:r>
          </w:p>
          <w:p w:rsidR="00971BAD" w:rsidRDefault="00971BAD" w:rsidP="00E07489">
            <w:pPr>
              <w:rPr>
                <w:sz w:val="24"/>
                <w:szCs w:val="24"/>
                <w:lang w:val="uk-UA" w:eastAsia="en-US"/>
              </w:rPr>
            </w:pPr>
          </w:p>
          <w:p w:rsidR="00971BAD" w:rsidRDefault="00971BAD" w:rsidP="00676F3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«___»______________ 20</w:t>
            </w:r>
            <w:r w:rsidR="00676F3F">
              <w:rPr>
                <w:sz w:val="24"/>
                <w:szCs w:val="24"/>
                <w:lang w:val="uk-UA" w:eastAsia="en-US"/>
              </w:rPr>
              <w:t>20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</w:tr>
    </w:tbl>
    <w:p w:rsidR="00971BAD" w:rsidRDefault="00971BAD" w:rsidP="00971BAD">
      <w:pPr>
        <w:rPr>
          <w:lang w:val="uk-UA"/>
        </w:rPr>
      </w:pPr>
    </w:p>
    <w:p w:rsidR="00971BAD" w:rsidRPr="00242C77" w:rsidRDefault="00971BAD" w:rsidP="00971BAD">
      <w:pPr>
        <w:rPr>
          <w:lang w:val="uk-UA"/>
        </w:rPr>
      </w:pPr>
    </w:p>
    <w:p w:rsidR="00585BBF" w:rsidRPr="00971BAD" w:rsidRDefault="00585BBF" w:rsidP="00971BAD">
      <w:pPr>
        <w:rPr>
          <w:lang w:val="uk-UA"/>
        </w:rPr>
      </w:pPr>
    </w:p>
    <w:sectPr w:rsidR="00585BBF" w:rsidRPr="00971BAD" w:rsidSect="00E004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7AEF"/>
    <w:rsid w:val="00066450"/>
    <w:rsid w:val="00136C57"/>
    <w:rsid w:val="001B51C0"/>
    <w:rsid w:val="0021158B"/>
    <w:rsid w:val="002E6064"/>
    <w:rsid w:val="0044506F"/>
    <w:rsid w:val="00447A50"/>
    <w:rsid w:val="004E7042"/>
    <w:rsid w:val="00505447"/>
    <w:rsid w:val="00585BBF"/>
    <w:rsid w:val="00676F3F"/>
    <w:rsid w:val="006D7E37"/>
    <w:rsid w:val="00705850"/>
    <w:rsid w:val="00732C57"/>
    <w:rsid w:val="00776438"/>
    <w:rsid w:val="00795838"/>
    <w:rsid w:val="0095383B"/>
    <w:rsid w:val="00971BAD"/>
    <w:rsid w:val="00982D6D"/>
    <w:rsid w:val="009B343F"/>
    <w:rsid w:val="009B58EF"/>
    <w:rsid w:val="00AC4292"/>
    <w:rsid w:val="00B272D4"/>
    <w:rsid w:val="00C071A7"/>
    <w:rsid w:val="00CA7C56"/>
    <w:rsid w:val="00CF3715"/>
    <w:rsid w:val="00D22648"/>
    <w:rsid w:val="00DC3E5B"/>
    <w:rsid w:val="00E00411"/>
    <w:rsid w:val="00E657D5"/>
    <w:rsid w:val="00E77BFB"/>
    <w:rsid w:val="00EA4C0F"/>
    <w:rsid w:val="00E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E7AEF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customStyle="1" w:styleId="Style1">
    <w:name w:val="Style1"/>
    <w:basedOn w:val="a"/>
    <w:uiPriority w:val="99"/>
    <w:qFormat/>
    <w:rsid w:val="00EE7AEF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qFormat/>
    <w:rsid w:val="00EE7AEF"/>
    <w:pPr>
      <w:spacing w:line="274" w:lineRule="exact"/>
    </w:pPr>
  </w:style>
  <w:style w:type="paragraph" w:customStyle="1" w:styleId="Style3">
    <w:name w:val="Style3"/>
    <w:basedOn w:val="a"/>
    <w:uiPriority w:val="99"/>
    <w:qFormat/>
    <w:rsid w:val="00EE7AEF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qFormat/>
    <w:rsid w:val="00EE7AEF"/>
  </w:style>
  <w:style w:type="paragraph" w:customStyle="1" w:styleId="Style5">
    <w:name w:val="Style5"/>
    <w:basedOn w:val="a"/>
    <w:uiPriority w:val="99"/>
    <w:qFormat/>
    <w:rsid w:val="00EE7AEF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qFormat/>
    <w:rsid w:val="00EE7AEF"/>
    <w:pPr>
      <w:spacing w:line="278" w:lineRule="exact"/>
    </w:pPr>
  </w:style>
  <w:style w:type="paragraph" w:customStyle="1" w:styleId="Style7">
    <w:name w:val="Style7"/>
    <w:basedOn w:val="a"/>
    <w:uiPriority w:val="99"/>
    <w:qFormat/>
    <w:rsid w:val="00EE7AEF"/>
    <w:pPr>
      <w:spacing w:line="276" w:lineRule="exact"/>
    </w:pPr>
  </w:style>
  <w:style w:type="character" w:customStyle="1" w:styleId="FontStyle11">
    <w:name w:val="Font Style11"/>
    <w:basedOn w:val="a0"/>
    <w:uiPriority w:val="99"/>
    <w:rsid w:val="00EE7A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E7AEF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Печатная машинка"/>
    <w:rsid w:val="00EE7AEF"/>
    <w:rPr>
      <w:rFonts w:ascii="Courier New" w:hAnsi="Courier New" w:cs="Courier New" w:hint="default"/>
      <w:sz w:val="20"/>
      <w:szCs w:val="20"/>
    </w:rPr>
  </w:style>
  <w:style w:type="paragraph" w:styleId="a5">
    <w:name w:val="annotation text"/>
    <w:basedOn w:val="a"/>
    <w:link w:val="a6"/>
    <w:semiHidden/>
    <w:unhideWhenUsed/>
    <w:rsid w:val="00CF37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F371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5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B5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6C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6C5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2020-01-23T08:27:00Z</cp:lastPrinted>
  <dcterms:created xsi:type="dcterms:W3CDTF">2020-01-28T15:50:00Z</dcterms:created>
  <dcterms:modified xsi:type="dcterms:W3CDTF">2020-01-28T15:50:00Z</dcterms:modified>
</cp:coreProperties>
</file>